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4E" w:rsidRDefault="0036744E"/>
    <w:p w:rsidR="00362664" w:rsidRDefault="00334474">
      <w:r>
        <w:rPr>
          <w:rFonts w:ascii="Calibri" w:hAnsi="Calibri" w:cs="Calibri"/>
          <w:b/>
          <w:noProof/>
          <w:sz w:val="32"/>
          <w:szCs w:val="32"/>
        </w:rPr>
        <w:drawing>
          <wp:inline distT="0" distB="0" distL="0" distR="0">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rsidR="00334474" w:rsidRDefault="00334474" w:rsidP="00334474">
      <w:pPr>
        <w:spacing w:after="0" w:line="240" w:lineRule="auto"/>
        <w:rPr>
          <w:rFonts w:ascii="Arial" w:hAnsi="Arial" w:cs="Arial"/>
          <w:b/>
          <w:sz w:val="36"/>
          <w:szCs w:val="36"/>
        </w:rPr>
      </w:pPr>
    </w:p>
    <w:p w:rsidR="00334474" w:rsidRDefault="00334474" w:rsidP="00334474">
      <w:pPr>
        <w:spacing w:after="0" w:line="240" w:lineRule="auto"/>
        <w:rPr>
          <w:rFonts w:ascii="Arial" w:hAnsi="Arial" w:cs="Arial"/>
          <w:b/>
          <w:sz w:val="36"/>
          <w:szCs w:val="36"/>
        </w:rPr>
      </w:pPr>
    </w:p>
    <w:p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p>
    <w:p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(TEDS)</w:t>
      </w:r>
    </w:p>
    <w:p w:rsidR="00334474" w:rsidRPr="00E825D9" w:rsidRDefault="00334474" w:rsidP="00334474">
      <w:pPr>
        <w:spacing w:after="0" w:line="240" w:lineRule="auto"/>
        <w:rPr>
          <w:rFonts w:ascii="Arial" w:hAnsi="Arial" w:cs="Arial"/>
          <w:b/>
          <w:sz w:val="32"/>
          <w:szCs w:val="32"/>
        </w:rPr>
      </w:pPr>
    </w:p>
    <w:p w:rsidR="00334474" w:rsidRPr="00E825D9" w:rsidRDefault="00334474" w:rsidP="00334474">
      <w:pPr>
        <w:spacing w:after="0" w:line="240" w:lineRule="auto"/>
        <w:rPr>
          <w:rFonts w:ascii="Arial" w:hAnsi="Arial" w:cs="Arial"/>
          <w:b/>
          <w:sz w:val="32"/>
          <w:szCs w:val="32"/>
        </w:rPr>
      </w:pPr>
    </w:p>
    <w:p w:rsidR="00334474" w:rsidRPr="00E825D9" w:rsidRDefault="00334474" w:rsidP="00334474">
      <w:pPr>
        <w:spacing w:after="0" w:line="240" w:lineRule="auto"/>
        <w:rPr>
          <w:rFonts w:ascii="Arial" w:hAnsi="Arial" w:cs="Arial"/>
          <w:b/>
          <w:sz w:val="32"/>
          <w:szCs w:val="32"/>
        </w:rPr>
      </w:pPr>
    </w:p>
    <w:p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201</w:t>
      </w:r>
      <w:r>
        <w:rPr>
          <w:rFonts w:ascii="Arial" w:hAnsi="Arial" w:cs="Arial"/>
          <w:b/>
          <w:sz w:val="32"/>
          <w:szCs w:val="32"/>
        </w:rPr>
        <w:t>7-2018</w:t>
      </w:r>
      <w:r w:rsidRPr="00E825D9">
        <w:rPr>
          <w:rFonts w:ascii="Arial" w:hAnsi="Arial" w:cs="Arial"/>
          <w:b/>
          <w:sz w:val="32"/>
          <w:szCs w:val="32"/>
        </w:rPr>
        <w:t xml:space="preserve"> Change Log</w:t>
      </w:r>
      <w:r>
        <w:rPr>
          <w:rFonts w:ascii="Arial" w:hAnsi="Arial" w:cs="Arial"/>
          <w:b/>
          <w:sz w:val="32"/>
          <w:szCs w:val="32"/>
        </w:rPr>
        <w:t xml:space="preserve"> – Section </w:t>
      </w:r>
      <w:r w:rsidR="00BD304D">
        <w:rPr>
          <w:rFonts w:ascii="Arial" w:hAnsi="Arial" w:cs="Arial"/>
          <w:b/>
          <w:sz w:val="32"/>
          <w:szCs w:val="32"/>
        </w:rPr>
        <w:t>5</w:t>
      </w:r>
    </w:p>
    <w:p w:rsidR="00334474" w:rsidRPr="00E825D9" w:rsidRDefault="00334474" w:rsidP="00334474">
      <w:pPr>
        <w:spacing w:after="0" w:line="240" w:lineRule="auto"/>
        <w:rPr>
          <w:rFonts w:ascii="Arial" w:hAnsi="Arial" w:cs="Arial"/>
          <w:b/>
          <w:sz w:val="32"/>
          <w:szCs w:val="32"/>
        </w:rPr>
      </w:pPr>
    </w:p>
    <w:p w:rsidR="00334474" w:rsidRPr="00E825D9" w:rsidRDefault="00334474" w:rsidP="00334474">
      <w:pPr>
        <w:spacing w:after="0" w:line="240" w:lineRule="auto"/>
        <w:rPr>
          <w:rFonts w:ascii="Arial" w:hAnsi="Arial" w:cs="Arial"/>
          <w:sz w:val="2"/>
          <w:szCs w:val="16"/>
        </w:rPr>
      </w:pPr>
    </w:p>
    <w:p w:rsidR="00334474" w:rsidRPr="00E825D9" w:rsidRDefault="00334474" w:rsidP="00334474">
      <w:pPr>
        <w:spacing w:after="0" w:line="240" w:lineRule="auto"/>
        <w:rPr>
          <w:rFonts w:ascii="Arial" w:hAnsi="Arial" w:cs="Arial"/>
          <w:sz w:val="28"/>
          <w:szCs w:val="28"/>
        </w:rPr>
      </w:pPr>
      <w:r>
        <w:rPr>
          <w:rFonts w:ascii="Arial" w:hAnsi="Arial" w:cs="Arial"/>
          <w:sz w:val="28"/>
          <w:szCs w:val="28"/>
        </w:rPr>
        <w:t>Preliminary Version 2018.P.1</w:t>
      </w:r>
      <w:r w:rsidRPr="00E825D9">
        <w:rPr>
          <w:rFonts w:ascii="Arial" w:hAnsi="Arial" w:cs="Arial"/>
          <w:sz w:val="28"/>
          <w:szCs w:val="28"/>
        </w:rPr>
        <w:t>.0</w:t>
      </w:r>
    </w:p>
    <w:p w:rsidR="00334474" w:rsidRPr="00E825D9" w:rsidRDefault="00334474" w:rsidP="00334474">
      <w:pPr>
        <w:spacing w:after="0" w:line="240" w:lineRule="auto"/>
        <w:rPr>
          <w:rFonts w:ascii="Arial" w:hAnsi="Arial" w:cs="Arial"/>
          <w:sz w:val="28"/>
          <w:szCs w:val="28"/>
        </w:rPr>
      </w:pPr>
      <w:r>
        <w:rPr>
          <w:rFonts w:ascii="Arial" w:hAnsi="Arial" w:cs="Arial"/>
          <w:sz w:val="28"/>
          <w:szCs w:val="28"/>
        </w:rPr>
        <w:t>December</w:t>
      </w:r>
      <w:r w:rsidRPr="00E825D9">
        <w:rPr>
          <w:rFonts w:ascii="Arial" w:hAnsi="Arial" w:cs="Arial"/>
          <w:sz w:val="28"/>
          <w:szCs w:val="28"/>
        </w:rPr>
        <w:t xml:space="preserve"> 1, 2016</w:t>
      </w:r>
    </w:p>
    <w:p w:rsidR="00334474" w:rsidRPr="00E825D9" w:rsidRDefault="00334474" w:rsidP="00334474">
      <w:pPr>
        <w:spacing w:after="0" w:line="240" w:lineRule="auto"/>
        <w:rPr>
          <w:rFonts w:ascii="Arial" w:hAnsi="Arial" w:cs="Arial"/>
          <w:sz w:val="28"/>
          <w:szCs w:val="32"/>
        </w:rPr>
      </w:pPr>
    </w:p>
    <w:p w:rsidR="00334474" w:rsidRPr="00E825D9" w:rsidRDefault="00334474" w:rsidP="00334474">
      <w:pPr>
        <w:spacing w:after="0" w:line="240" w:lineRule="auto"/>
        <w:rPr>
          <w:rFonts w:ascii="Arial" w:hAnsi="Arial" w:cs="Arial"/>
          <w:sz w:val="28"/>
          <w:szCs w:val="32"/>
        </w:rPr>
      </w:pPr>
    </w:p>
    <w:p w:rsidR="00334474" w:rsidRPr="00E825D9" w:rsidRDefault="00334474" w:rsidP="00334474">
      <w:pPr>
        <w:spacing w:after="0" w:line="240" w:lineRule="auto"/>
        <w:rPr>
          <w:rFonts w:ascii="Arial" w:hAnsi="Arial" w:cs="Arial"/>
          <w:sz w:val="28"/>
          <w:szCs w:val="32"/>
        </w:rPr>
      </w:pPr>
    </w:p>
    <w:p w:rsidR="00334474" w:rsidRPr="00E825D9" w:rsidRDefault="00334474" w:rsidP="00334474">
      <w:pPr>
        <w:spacing w:after="0" w:line="240" w:lineRule="auto"/>
        <w:rPr>
          <w:rFonts w:ascii="Arial" w:hAnsi="Arial" w:cs="Arial"/>
          <w:sz w:val="28"/>
          <w:szCs w:val="32"/>
        </w:rPr>
      </w:pPr>
    </w:p>
    <w:p w:rsidR="00334474" w:rsidRDefault="00334474" w:rsidP="00334474">
      <w:pPr>
        <w:spacing w:after="0" w:line="240" w:lineRule="auto"/>
        <w:rPr>
          <w:rFonts w:ascii="Arial" w:hAnsi="Arial" w:cs="Arial"/>
          <w:sz w:val="28"/>
          <w:szCs w:val="32"/>
        </w:rPr>
      </w:pPr>
    </w:p>
    <w:p w:rsidR="00334474" w:rsidRDefault="00334474" w:rsidP="00334474">
      <w:pPr>
        <w:spacing w:after="0" w:line="240" w:lineRule="auto"/>
        <w:rPr>
          <w:rFonts w:ascii="Arial" w:hAnsi="Arial" w:cs="Arial"/>
          <w:sz w:val="28"/>
          <w:szCs w:val="32"/>
        </w:rPr>
      </w:pPr>
    </w:p>
    <w:p w:rsidR="00334474" w:rsidRDefault="00334474" w:rsidP="00334474">
      <w:pPr>
        <w:spacing w:after="0" w:line="240" w:lineRule="auto"/>
        <w:rPr>
          <w:rFonts w:ascii="Arial" w:hAnsi="Arial" w:cs="Arial"/>
          <w:sz w:val="28"/>
          <w:szCs w:val="32"/>
        </w:rPr>
      </w:pPr>
    </w:p>
    <w:p w:rsidR="00334474" w:rsidRPr="00E825D9" w:rsidRDefault="00334474" w:rsidP="00334474">
      <w:pPr>
        <w:spacing w:after="0" w:line="240" w:lineRule="auto"/>
        <w:rPr>
          <w:rFonts w:ascii="Arial" w:hAnsi="Arial" w:cs="Arial"/>
          <w:sz w:val="28"/>
          <w:szCs w:val="32"/>
        </w:rPr>
      </w:pPr>
    </w:p>
    <w:p w:rsidR="00334474" w:rsidRPr="00E825D9" w:rsidRDefault="00334474" w:rsidP="00334474">
      <w:pPr>
        <w:spacing w:after="0" w:line="240" w:lineRule="auto"/>
        <w:rPr>
          <w:rFonts w:ascii="Arial" w:hAnsi="Arial" w:cs="Arial"/>
          <w:sz w:val="28"/>
          <w:szCs w:val="32"/>
        </w:rPr>
      </w:pPr>
    </w:p>
    <w:p w:rsidR="00334474" w:rsidRPr="00E825D9" w:rsidRDefault="00334474" w:rsidP="00334474">
      <w:pPr>
        <w:spacing w:after="0" w:line="240" w:lineRule="auto"/>
        <w:rPr>
          <w:rFonts w:ascii="Arial" w:hAnsi="Arial" w:cs="Arial"/>
          <w:sz w:val="28"/>
          <w:szCs w:val="28"/>
        </w:rPr>
      </w:pPr>
      <w:r w:rsidRPr="00E825D9">
        <w:rPr>
          <w:rFonts w:ascii="Arial" w:hAnsi="Arial" w:cs="Arial"/>
          <w:sz w:val="28"/>
          <w:szCs w:val="28"/>
        </w:rPr>
        <w:t xml:space="preserve">Prepared by: </w:t>
      </w:r>
      <w:r>
        <w:rPr>
          <w:rFonts w:ascii="Arial" w:hAnsi="Arial" w:cs="Arial"/>
          <w:sz w:val="28"/>
          <w:szCs w:val="28"/>
        </w:rPr>
        <w:t>Information Technology Services Business Management Division</w:t>
      </w:r>
    </w:p>
    <w:p w:rsidR="00334474" w:rsidRDefault="00C317EE"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rsidR="00334474" w:rsidRPr="00C62310" w:rsidRDefault="00334474" w:rsidP="00334474">
      <w:pPr>
        <w:pStyle w:val="Heading2"/>
        <w:jc w:val="center"/>
        <w:rPr>
          <w:rFonts w:ascii="Arial" w:hAnsi="Arial" w:cs="Arial"/>
          <w:b/>
          <w:color w:val="auto"/>
          <w:sz w:val="24"/>
          <w:szCs w:val="24"/>
        </w:rPr>
      </w:pPr>
      <w:bookmarkStart w:id="0" w:name="_Toc466923712"/>
      <w:bookmarkStart w:id="1" w:name="_Toc466960826"/>
      <w:r w:rsidRPr="00C62310">
        <w:rPr>
          <w:rFonts w:ascii="Arial" w:hAnsi="Arial" w:cs="Arial"/>
          <w:b/>
          <w:color w:val="auto"/>
          <w:sz w:val="24"/>
          <w:szCs w:val="24"/>
        </w:rPr>
        <w:lastRenderedPageBreak/>
        <w:t xml:space="preserve">Section </w:t>
      </w:r>
      <w:r w:rsidR="00236FD3" w:rsidRPr="00C62310">
        <w:rPr>
          <w:rFonts w:ascii="Arial" w:hAnsi="Arial" w:cs="Arial"/>
          <w:b/>
          <w:color w:val="auto"/>
          <w:sz w:val="24"/>
          <w:szCs w:val="24"/>
        </w:rPr>
        <w:t>5</w:t>
      </w:r>
      <w:r w:rsidRPr="00C62310">
        <w:rPr>
          <w:rFonts w:ascii="Arial" w:hAnsi="Arial" w:cs="Arial"/>
          <w:b/>
          <w:color w:val="auto"/>
          <w:sz w:val="24"/>
          <w:szCs w:val="24"/>
        </w:rPr>
        <w:t xml:space="preserve"> – </w:t>
      </w:r>
      <w:r w:rsidR="00236FD3" w:rsidRPr="00C62310">
        <w:rPr>
          <w:rFonts w:ascii="Arial" w:hAnsi="Arial" w:cs="Arial"/>
          <w:b/>
          <w:color w:val="auto"/>
          <w:sz w:val="24"/>
          <w:szCs w:val="24"/>
        </w:rPr>
        <w:t>Business Rules and Validations</w:t>
      </w:r>
      <w:r w:rsidRPr="00C62310">
        <w:rPr>
          <w:rFonts w:ascii="Arial" w:hAnsi="Arial" w:cs="Arial"/>
          <w:b/>
          <w:color w:val="auto"/>
          <w:sz w:val="24"/>
          <w:szCs w:val="24"/>
        </w:rPr>
        <w:t xml:space="preserve"> Changes</w:t>
      </w:r>
      <w:bookmarkEnd w:id="0"/>
      <w:bookmarkEnd w:id="1"/>
    </w:p>
    <w:p w:rsidR="00334474" w:rsidRPr="003D3446" w:rsidRDefault="003D3446" w:rsidP="003D3446">
      <w:pPr>
        <w:spacing w:before="120" w:line="240" w:lineRule="auto"/>
        <w:rPr>
          <w:rFonts w:ascii="Arial" w:hAnsi="Arial" w:cs="Arial"/>
          <w:sz w:val="20"/>
          <w:szCs w:val="20"/>
        </w:rPr>
      </w:pPr>
      <w:r w:rsidRPr="003D3446">
        <w:rPr>
          <w:rFonts w:ascii="Arial" w:hAnsi="Arial" w:cs="Arial"/>
          <w:sz w:val="20"/>
          <w:szCs w:val="20"/>
        </w:rPr>
        <w:t>The following</w:t>
      </w:r>
      <w:r>
        <w:rPr>
          <w:rFonts w:ascii="Arial" w:hAnsi="Arial" w:cs="Arial"/>
          <w:sz w:val="20"/>
          <w:szCs w:val="20"/>
        </w:rPr>
        <w:t xml:space="preserve"> is a list of changes made </w:t>
      </w:r>
      <w:r w:rsidR="007A43E0">
        <w:rPr>
          <w:rFonts w:ascii="Arial" w:hAnsi="Arial" w:cs="Arial"/>
          <w:sz w:val="20"/>
          <w:szCs w:val="20"/>
        </w:rPr>
        <w:t>in</w:t>
      </w:r>
      <w:r>
        <w:rPr>
          <w:rFonts w:ascii="Arial" w:hAnsi="Arial" w:cs="Arial"/>
          <w:sz w:val="20"/>
          <w:szCs w:val="20"/>
        </w:rPr>
        <w:t xml:space="preserve"> section 5 </w:t>
      </w:r>
      <w:r w:rsidR="004362DA">
        <w:rPr>
          <w:rFonts w:ascii="Arial" w:hAnsi="Arial" w:cs="Arial"/>
          <w:sz w:val="20"/>
          <w:szCs w:val="20"/>
        </w:rPr>
        <w:t>of</w:t>
      </w:r>
      <w:r>
        <w:rPr>
          <w:rFonts w:ascii="Arial" w:hAnsi="Arial" w:cs="Arial"/>
          <w:sz w:val="20"/>
          <w:szCs w:val="20"/>
        </w:rPr>
        <w:t xml:space="preserve"> the 2016-2017 Post-Addendum Version 2018.A.2.2 published November 14, 2016 </w:t>
      </w:r>
      <w:r w:rsidR="007A43E0">
        <w:rPr>
          <w:rFonts w:ascii="Arial" w:hAnsi="Arial" w:cs="Arial"/>
          <w:sz w:val="20"/>
          <w:szCs w:val="20"/>
        </w:rPr>
        <w:t>to create</w:t>
      </w:r>
      <w:r>
        <w:rPr>
          <w:rFonts w:ascii="Arial" w:hAnsi="Arial" w:cs="Arial"/>
          <w:sz w:val="20"/>
          <w:szCs w:val="20"/>
        </w:rPr>
        <w:t xml:space="preserve"> the 2017-2018 Preliminary Version 2018.P.1.0 published December 1, 2016.</w:t>
      </w:r>
    </w:p>
    <w:tbl>
      <w:tblPr>
        <w:tblStyle w:val="TableGrid"/>
        <w:tblW w:w="13233" w:type="dxa"/>
        <w:tblLayout w:type="fixed"/>
        <w:tblLook w:val="04A0"/>
      </w:tblPr>
      <w:tblGrid>
        <w:gridCol w:w="1117"/>
        <w:gridCol w:w="1241"/>
        <w:gridCol w:w="810"/>
        <w:gridCol w:w="6637"/>
        <w:gridCol w:w="757"/>
        <w:gridCol w:w="697"/>
        <w:gridCol w:w="1133"/>
        <w:gridCol w:w="841"/>
      </w:tblGrid>
      <w:tr w:rsidR="00236FD3" w:rsidRPr="00236FD3" w:rsidTr="00236FD3">
        <w:trPr>
          <w:cantSplit/>
          <w:tblHeader/>
        </w:trPr>
        <w:tc>
          <w:tcPr>
            <w:tcW w:w="1117"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Version</w:t>
            </w:r>
          </w:p>
        </w:tc>
        <w:tc>
          <w:tcPr>
            <w:tcW w:w="1241"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Rule #</w:t>
            </w:r>
          </w:p>
        </w:tc>
        <w:tc>
          <w:tcPr>
            <w:tcW w:w="810"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Edit #</w:t>
            </w:r>
          </w:p>
        </w:tc>
        <w:tc>
          <w:tcPr>
            <w:tcW w:w="6637" w:type="dxa"/>
            <w:hideMark/>
          </w:tcPr>
          <w:p w:rsidR="00236FD3" w:rsidRPr="00236FD3" w:rsidRDefault="00236FD3" w:rsidP="00236FD3">
            <w:pPr>
              <w:spacing w:before="40" w:after="40"/>
              <w:rPr>
                <w:rFonts w:ascii="Arial" w:eastAsia="Times New Roman" w:hAnsi="Arial" w:cs="Arial"/>
                <w:b/>
                <w:bCs/>
                <w:sz w:val="18"/>
                <w:szCs w:val="18"/>
              </w:rPr>
            </w:pPr>
            <w:r w:rsidRPr="00236FD3">
              <w:rPr>
                <w:rFonts w:ascii="Arial" w:eastAsia="Times New Roman" w:hAnsi="Arial" w:cs="Arial"/>
                <w:b/>
                <w:bCs/>
                <w:color w:val="000000"/>
                <w:sz w:val="18"/>
                <w:szCs w:val="18"/>
              </w:rPr>
              <w:t>Description of Change</w:t>
            </w:r>
          </w:p>
        </w:tc>
        <w:tc>
          <w:tcPr>
            <w:tcW w:w="757"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Error Level</w:t>
            </w:r>
          </w:p>
        </w:tc>
        <w:tc>
          <w:tcPr>
            <w:tcW w:w="697"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TSDS</w:t>
            </w:r>
          </w:p>
        </w:tc>
        <w:tc>
          <w:tcPr>
            <w:tcW w:w="1133"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Collection</w:t>
            </w:r>
          </w:p>
        </w:tc>
        <w:tc>
          <w:tcPr>
            <w:tcW w:w="841" w:type="dxa"/>
            <w:hideMark/>
          </w:tcPr>
          <w:p w:rsidR="00236FD3" w:rsidRPr="00236FD3" w:rsidRDefault="00236FD3" w:rsidP="00236FD3">
            <w:pPr>
              <w:spacing w:before="40" w:after="40"/>
              <w:jc w:val="center"/>
              <w:rPr>
                <w:rFonts w:ascii="Arial" w:eastAsia="Times New Roman" w:hAnsi="Arial" w:cs="Arial"/>
                <w:b/>
                <w:bCs/>
                <w:sz w:val="18"/>
                <w:szCs w:val="18"/>
              </w:rPr>
            </w:pPr>
            <w:r w:rsidRPr="00236FD3">
              <w:rPr>
                <w:rFonts w:ascii="Arial" w:eastAsia="Times New Roman" w:hAnsi="Arial" w:cs="Arial"/>
                <w:b/>
                <w:bCs/>
                <w:color w:val="000000"/>
                <w:sz w:val="18"/>
                <w:szCs w:val="18"/>
              </w:rPr>
              <w:t>PEIMS Sub</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10010-0002</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01003</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Deleted rule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1, 2, 4</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10010-0003</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01004</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TSDS submission for CASE Ratings Collection, removed PEIMS Sub 3</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10010-0004</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01005</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TSDS submission for CASE Ratings Collection, removed PEIMS Sub 3</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10010-0007</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01007</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FINE-ARTS-CATEGORY-CODE, WELLNESS-AND-PHYSICAL-ED-CATEGORY-CODE, COMMUNITY-AND-PARENTAL-INVOLVEMENT-CATEGORY-CODE, 21ST-CENTURY-WORKFORCE-DEVEL-PGM-CATEGORY-CODE, SECOND-LANG-ACQUISITION-PGM-CATEGORY-CODE, DIGITAL-LEARNING-ENVIRONMENT-CATEGORY-CODE, DROPOUT-PREVENTION-STRATEGIES-CATEGORY-CODE, EDUCATIONAL-PGM-FOR-GT-STUDENTS-CATEGORY-CODE, OVERALL-RATING-CATEGORY-CODE, and STATUTORY-REPORTING-AND-POLICY-COMPLIANCE-CODE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10010-0009</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01009</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TSDS submission for CASE Ratings Collection, removed PEIMS Sub 3, removed "PEIMS" from rule text</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10010-0010</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01010</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TSDS submission for CASE Ratings Collection, removed PEIMS Sub 3, removed "PEIMS" from rule text</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10010-0014</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for CASE Ratings Collection: Excluding LEAs that were not active in the prior year and the Texas Juvenile Justice Department (227622), using the FIRST-CASE-CHOICE-CODE, SECOND-CASE-CHOICE-CODE, and THIRD-CASE-CHOICE-CODE values from the prior year’s PEIMS collection for this LEA, those chosen community and student engagement indicators must not be blank or “00” in this collection. The community and student engagement indicator fields are: FINE-ARTS-CATEGORY-CODE, WELLNESS-AND-PHYSICAL-ED-CATEGORY-CODE, COMMUNITY-AND-PARENTAL-INVOLVEMENT-CATEGORY-CODE, 21ST-CENTURY-WORKFORCE-DEVEL-PGM-CATEGORY-CODE, SECOND-LANG-ACQUISITION-PGM-CATEGORY-CODE, DIGITAL-LEARNING-ENVIRONMENT-CATEGORY-CODE, DROPOUT-PREVENTION-STRATEGIES-CATEGORY-CODE, EDUCATIONAL-PGM-FOR-GT-STUDENTS-CATEGORY-CODE.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10020-000B</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0200B</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Submission 1 (New rule 10020-000E will be for Submission 1)</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2, 4</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lastRenderedPageBreak/>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10020-000E</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0200B</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For a campus, the following must be provided: CAMPUS-ID, CAMPUS-NAME, ORGANIZATION-CATEGORY, DISTRICT-ID, and NSLP-TYPE-CODE.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10020-0025</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02012</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Deleted rule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1, 2, 4</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10020-0026</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02013</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TSDS submission for CASE Ratings Collection, removed PEIMS Sub 3, removed "and there is at least one Attendance or Flexible Attendance data item reported with a matching CAMPUS-ID-OF-ENROLLMENT" from rule text</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10020-0027</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02014</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TSDS submission for CASE Ratings Collection, removed PEIMS Sub 3</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10020-0029</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02015</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FINE-ARTS-CATEGORY-CODE, WELLNESS-AND-PHYSICAL-ED-CATEGORY-CODE, COMMUNITY-AND-PARENTAL-INVOLVEMENT-CATEGORY-CODE, 21ST-CENTURY-WORKFORCE-DEVEL-PGM-CATEGORY-CODE, SECOND-LANG-ACQUISITION-PGM-CATEGORY-CODE, DIGITAL-LEARNING-ENVIRONMENT-CATEGORY-CODE, DROPOUT-PREVENTION-STRATEGIES-CATEGORY-CODE, EDUCATIONAL-PGM-FOR-GT-STUDENTS-CATEGORY-CODE, OVERALL-RATING-CATEGORY-CODE, STATUTORY-REPORTING-AND-POLICY-COMPLIANCE-CODE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10020-0030</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02016</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"any Texas Juvenile Justice Department (227622) campus", removed FINE-ARTS-CATEGORY-CODE through STATUTORY-REPORTING-AND-POLICY-COMPLIANCE-CODE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10020-0036</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If a campus has at least one student enrolled with ECONOMIC-DISADVANTAGE-CODE of “01”, “02”, then NSLP-TYPE-CODE must not be “00”.</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lastRenderedPageBreak/>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10020-0037</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for CASE Ratings Collection: If a campus is registered with the TEA as an active instructional campus in the prior and current school year (with the exceptions noted below), using the FIRST-CASE-CHOICE-CODE, SECOND-CASE-CHOICE-CODE, and THIRD-CASE-CHOICE-CODE values from the previous year’s PEIMS collection for this campus, those community and student engagement indicator indicators must not be blank or “00” for this collection. The community and student engagement indicator fields are: FINE-ARTS-CATEGORY-CODE, WELLNESS-AND-PHYSICAL-ED-CATEGORY-CODE, COMMUNITY-AND-PARENTAL-INVOLVEMENT-CATEGORY-CODE, 21ST-CENTURY-WORKFORCE-DEVEL-PGM-CATEGORY-CODE, SECOND-LANG-ACQUISITION-PGM-CATEGORY-CODE, DIGITAL-LEARNING-ENVIRONMENT-CATEGORY-CODE, DROPOUT-PREVENTION-STRATEGIES-CATEGORY-CODE, EDUCATIONAL-PGM-FOR-GT-STUDENTS-CATEGORY-CODE.</w:t>
            </w:r>
            <w:r w:rsidRPr="00236FD3">
              <w:rPr>
                <w:rFonts w:ascii="Arial" w:eastAsia="Times New Roman" w:hAnsi="Arial" w:cs="Arial"/>
                <w:color w:val="000000"/>
                <w:sz w:val="18"/>
                <w:szCs w:val="18"/>
              </w:rPr>
              <w:br/>
              <w:t xml:space="preserve">This rule excludes DEAPs, JJAEPs, and any Texas Juvenile Justice Department (227622) campus. </w:t>
            </w:r>
            <w:r w:rsidRPr="00236FD3">
              <w:rPr>
                <w:rFonts w:ascii="Arial" w:eastAsia="Times New Roman" w:hAnsi="Arial" w:cs="Arial"/>
                <w:color w:val="000000"/>
                <w:sz w:val="18"/>
                <w:szCs w:val="18"/>
              </w:rPr>
              <w:br/>
              <w:t>In addition, this rule excludes the following AEP campuses that serve only students in TJJD facilities: 003903201, 007902005, 014906025, 015808003, 015808006, 015808007, 015808008, 015907195, 020902004, 021902014, 031903204, 031906003, 031912201, 043907006, 061911003, 068901005, 079901133, 084901011, 084901012, 091906004, 091906035, 092903200, 094901112, 101811001, 101811003, 101811004, 101811006, 108904040, 108911006, 116905003, 133903106, 147902003, 152901017, 161914444, 161920003, 167902002, 170902201, 205906002, 220905024, 220905066, 221901008, 227901027, 227901030, 227901035, 234904002, 235902008, 246904199, 246907004, 246908006, 246909016, and 246911011.</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10020-0038</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for CASE Ratings collection: If the campus is a DAEP, JJAEP, any Texas Juvenile Justice Department (227622) campus, or is not an active instructional campus, then the following fields must be blank: FINE-ARTS-CATEGORY-CODE, WELLNESS-AND-PHYSICAL-ED-CATEGORY-CODE, COMMUNITY-AND-PARENTAL-INVOLVEMENT-CATEGORY-CODE, 21ST-CENTURY-WORKFORCE-DEVEL-PGM-CATEGORY-CODE, SECOND-LANG-ACQUISITION-PGM-CATEGORY-CODE, DIGITAL-LEARNING-ENVIRONMENT-CATEGORY-CODE, DROPOUT-PREVENTION-STRATEGIES-CATEGORY-CODE, EDUCATIONAL-PGM-FOR-GT-STUDENTS-CATEGORY-CODE, OVERALL-RATING-CATEGORY-CODE, and STATUTORY-REPORTING-AND-POLICY-COMPLIANCE-CODE.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CASE Ratings</w:t>
            </w: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20030-0008</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0301V</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FISCAL-YEAR from 7 to 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20032-0024</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0321P</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FISCAL-YEAR from 6 to 7</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20032-0075</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032YR</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Deleted FISCAL-YEAR 4. Added FISCAL-YEAR 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lastRenderedPageBreak/>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20033-0004</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03304</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Deleted FISCAL-YEAR 4. Added FISCAL-YEAR 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30040-0029</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'(excluding "666")' to rule text and business meaning for consistency with 30040-0004</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30060-0028</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0601R</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FISCAL-YEAR from 7 to 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30060-0029</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0601S</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Deleted FISCAL-YEAR 4. Added FISCAL-YEAR 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30060-0031</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06081</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237, 262, 266, 269, 279, 293, 297, 361, 366, 389, 413, 421, 424, 425,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30060-0032</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06082</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266, 269, 293, 366, 389, 413, 421, 425,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30060-0033</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06083</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243, 249, 252, 266, 269, 293, 297, 330, 336, 339, 366, 389, 413, 417, 421, 425,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30060-0034</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06084</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237, 266, 269, 283, 284, 293, 297, 326, 366, 389, 413, 421, 425,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30060-0035</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06085</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213, 237, 256, 261, 262, 266, 269, 279, 280, 285, 293, 295, 297, 302, 326, 343, 348, 349, 351, 356, 358, 361, 366, 389, 394, 401, 413, 421</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30060-0036</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06086</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266, 269, 293, 297, 366, 389, 413, 421, 423, 425,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30060-0037</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0601Q</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266, 285, 358, 366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30060-0041</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06088</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204, 208, 213, 237, 256, 261, 262, 266, 269, 279, 280, 285, 293, 295, 297, 302, 326, 343, 356, 361, 366, 389, 394, 413, 417, 421, 425,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30060-0067</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0601X</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FUND-CODE 213, 237, 256, 261, 266, 269, 280, 295, 302, 326, 343, 348, 356, 358, 366, 401, 413, 421, 423, 426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30305-0008</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30510</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June 1, 2016 to June 1, 2017. Changed August 31, 2017 to August 31,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ECDS</w:t>
            </w: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30305-0010</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30511</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June 1, 2016 to June 1, 2017. Changed August 31, 2017 to August 31,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ECDS</w:t>
            </w: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40100-0014</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10003</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'must not be "000" or "666"' to 'must be between "001" and "899" (excluding "666")'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ECDS</w:t>
            </w: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1, 3, 4</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40100-0104</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'must not be "000"' to 'must be between "001" and "899" (excluding "666")'</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X</w:t>
            </w: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40100-0130</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STUDENT-LANGUAGE-CODE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40100-0131</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STUDENT-LANGUAGE-CODE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lastRenderedPageBreak/>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40100-0152</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1102M</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LEP-INDICATOR-CODEs "F" and "S"; Added HOME-LANGUAGE-CODE as a condition; changed field tested from HOME-LANGUAGE-CODE to STUDENT-LANGUAGE-CODE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40100-0154</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If STUDENT-LANGUAGE-CODE and HOME-LANGUAGE-CODE are both “98”, then LEP-INDICATOR-CODE must not be “1”, “S”, or “F”.</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40100-0155</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If STUDENT-LANGUAGE-CODE and HOME-LANGUAGE-CODE are both not “98”, then LEP-INDICATOR-CODE should be “1”, “S”, or “F”.</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40110-0048</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1101N</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Reinstated/enabled rule that was disabled for 16-17 only</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40110-0076</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1102J</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Reinstated/enabled rule that was disabled for 16-17 only</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40110-0130</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1012U</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'If GRADE-LEVEL-CODE is "09"-"11"'; revise</w:t>
            </w:r>
            <w:r w:rsidR="00BF2A15">
              <w:rPr>
                <w:rFonts w:ascii="Arial" w:eastAsia="Times New Roman" w:hAnsi="Arial" w:cs="Arial"/>
                <w:color w:val="000000"/>
                <w:sz w:val="18"/>
                <w:szCs w:val="18"/>
              </w:rPr>
              <w:t>d</w:t>
            </w:r>
            <w:r w:rsidRPr="00236FD3">
              <w:rPr>
                <w:rFonts w:ascii="Arial" w:eastAsia="Times New Roman" w:hAnsi="Arial" w:cs="Arial"/>
                <w:color w:val="000000"/>
                <w:sz w:val="18"/>
                <w:szCs w:val="18"/>
              </w:rPr>
              <w:t xml:space="preserve"> Business Meaning to correspond</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40110-0165</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41529</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June 1, 2016 to June 1, 2017. Changed August 31, 2017 to August 31,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ECDS</w:t>
            </w: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3, 4</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40110-0166</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41530</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June 1, 2016 to June 1, 2017. Changed August 31, 2017 to August 31,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ECDS</w:t>
            </w: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3, 4</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40110-0178</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Deleted rule that was added for 16-17 only</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40203-0003</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20311</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Advanced year values one year.</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40203-000B</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2030B</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MILITARY-ENLISTMENT-INDICATOR-CODE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40203-0022</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The number of school leavers with INDIVIDUAL-GRADUATION-COMMITTEE-GRADUATE-CODE of "02" should not be equal to the number of school leavers with GRADE-LEVEL-CODE "12".</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41461-0012</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11053</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PEIMS Submission 3; added "For a particular CAMPUS-ID-OF-ENROLLMENT reporting Title I, Part A data, "; removed "enrollment"; revised Business Meaning to correspond</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1, 3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44425-0009</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42550</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2017 to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44425-0034</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42562</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2016 to 2017</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44425-0035</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42563</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August 1, 2016 to August 1, 2017. Changed July 1, 2017 to July 1,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45435-0009</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43507</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Changed August 1, 2016 to August 1, 2017. Changed July 1, 2017 to July 1, 2018.</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S</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48011-0008</w:t>
            </w:r>
          </w:p>
        </w:tc>
        <w:tc>
          <w:tcPr>
            <w:tcW w:w="810"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20332</w:t>
            </w: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Removed PEIMS Submission 1; Changed 'FHSP-DISTING-LEVEL-ACHIEVE-INDICATOR-CODE is not "0" or blank" to 'FHSP-DISTING-LEVEL-ACHIEVE-INDICATOR-CODE is "1" or "2"'</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lastRenderedPageBreak/>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48011-000B</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AP-IB-PERFORMANCE-ACKNOWLEDGEMENT, BILINGUALISM-BILITERACY-PERFORMANCE-ACKNOWLEDGEMENT, CERTIFICATIONS-LICENSURES-POST-SECONDARY-CERTIFICATION-PERFORMANCE-ACKNOWLEDGEMENT, COLLEGE-READINESS-ASSESSMENTS-PERFORMANCE-ACKNOWLEDGEMENT, and DUAL-CREDIT-PERFORMANCE-ACKNOWLEDGEMENT</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48011-0017</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Revision: Added GRADE-LEVEL-CODE 12</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48011-0020</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If FHSP-DISTING-LEVEL-ACHIEVE-INDICATOR-CODE is "2", then at least one of the following fields must be "2": STEM-ENDORSEMENT-INDICATOR-CODE, BUSINESS-AND-INDUSTRY-ENDORSEMENT-INDICATOR-CODE, PUBLIC-SERVICES-ENDORSEMENT-INDICATOR-CODE, ARTS-AND-HUMANITIES-ENDORSEMENT-INDICATOR-CODE, or MULTI-DISCIPLINARY-STUDIES-ENDORSEMENT-INDICATOR-CODE.</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F</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1</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48011-0021</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The number of students with GRADE-LEVEL-CODE "12" and INDIVIDUAL-GRADUATION-COMMITTEE-REVIEW-CODE of "01" should not be equal to the number of students with GRADE-LEVEL-CODE "12".</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r w:rsidR="00236FD3" w:rsidRPr="00236FD3" w:rsidTr="00236FD3">
        <w:trPr>
          <w:cantSplit/>
        </w:trPr>
        <w:tc>
          <w:tcPr>
            <w:tcW w:w="1117" w:type="dxa"/>
            <w:hideMark/>
          </w:tcPr>
          <w:p w:rsidR="00236FD3" w:rsidRPr="00236FD3" w:rsidRDefault="00CF24AE" w:rsidP="00236FD3">
            <w:pPr>
              <w:spacing w:before="40" w:after="40"/>
              <w:rPr>
                <w:rFonts w:ascii="Arial" w:eastAsia="Times New Roman" w:hAnsi="Arial" w:cs="Arial"/>
                <w:sz w:val="18"/>
                <w:szCs w:val="18"/>
              </w:rPr>
            </w:pPr>
            <w:r>
              <w:rPr>
                <w:rFonts w:ascii="Arial" w:eastAsia="Times New Roman" w:hAnsi="Arial" w:cs="Arial"/>
                <w:color w:val="000000"/>
                <w:sz w:val="18"/>
                <w:szCs w:val="18"/>
              </w:rPr>
              <w:t>2018.P.1.0</w:t>
            </w:r>
          </w:p>
        </w:tc>
        <w:tc>
          <w:tcPr>
            <w:tcW w:w="12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48011-0022</w:t>
            </w:r>
          </w:p>
        </w:tc>
        <w:tc>
          <w:tcPr>
            <w:tcW w:w="810" w:type="dxa"/>
            <w:hideMark/>
          </w:tcPr>
          <w:p w:rsidR="00236FD3" w:rsidRPr="00236FD3" w:rsidRDefault="00236FD3" w:rsidP="00236FD3">
            <w:pPr>
              <w:spacing w:before="40" w:after="40"/>
              <w:rPr>
                <w:rFonts w:ascii="Arial" w:eastAsia="Times New Roman" w:hAnsi="Arial" w:cs="Arial"/>
                <w:sz w:val="18"/>
                <w:szCs w:val="18"/>
              </w:rPr>
            </w:pPr>
          </w:p>
        </w:tc>
        <w:tc>
          <w:tcPr>
            <w:tcW w:w="6637"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New rule: The number of students with GRADE-LEVEL-CODE "11" and INDIVIDUAL-GRADUATION-COMMITTEE-REVIEW-CODE of "01" should not be equal to the number of students with GRADE-LEVEL-CODE "11".</w:t>
            </w:r>
          </w:p>
        </w:tc>
        <w:tc>
          <w:tcPr>
            <w:tcW w:w="757" w:type="dxa"/>
            <w:hideMark/>
          </w:tcPr>
          <w:p w:rsidR="00236FD3" w:rsidRPr="00236FD3" w:rsidRDefault="00236FD3" w:rsidP="00236FD3">
            <w:pPr>
              <w:spacing w:before="40" w:after="40"/>
              <w:jc w:val="center"/>
              <w:rPr>
                <w:rFonts w:ascii="Arial" w:eastAsia="Times New Roman" w:hAnsi="Arial" w:cs="Arial"/>
                <w:sz w:val="18"/>
                <w:szCs w:val="18"/>
              </w:rPr>
            </w:pPr>
            <w:r w:rsidRPr="00236FD3">
              <w:rPr>
                <w:rFonts w:ascii="Arial" w:eastAsia="Times New Roman" w:hAnsi="Arial" w:cs="Arial"/>
                <w:color w:val="000000"/>
                <w:sz w:val="18"/>
                <w:szCs w:val="18"/>
              </w:rPr>
              <w:t>W</w:t>
            </w:r>
          </w:p>
        </w:tc>
        <w:tc>
          <w:tcPr>
            <w:tcW w:w="697" w:type="dxa"/>
            <w:hideMark/>
          </w:tcPr>
          <w:p w:rsidR="00236FD3" w:rsidRPr="00236FD3" w:rsidRDefault="00236FD3" w:rsidP="00236FD3">
            <w:pPr>
              <w:spacing w:before="40" w:after="40"/>
              <w:jc w:val="center"/>
              <w:rPr>
                <w:rFonts w:ascii="Arial" w:eastAsia="Times New Roman" w:hAnsi="Arial" w:cs="Arial"/>
                <w:sz w:val="18"/>
                <w:szCs w:val="18"/>
              </w:rPr>
            </w:pPr>
          </w:p>
        </w:tc>
        <w:tc>
          <w:tcPr>
            <w:tcW w:w="1133" w:type="dxa"/>
            <w:hideMark/>
          </w:tcPr>
          <w:p w:rsidR="00236FD3" w:rsidRPr="00236FD3" w:rsidRDefault="00236FD3" w:rsidP="00236FD3">
            <w:pPr>
              <w:spacing w:before="40" w:after="40"/>
              <w:rPr>
                <w:rFonts w:ascii="Arial" w:eastAsia="Times New Roman" w:hAnsi="Arial" w:cs="Arial"/>
                <w:sz w:val="18"/>
                <w:szCs w:val="18"/>
              </w:rPr>
            </w:pPr>
          </w:p>
        </w:tc>
        <w:tc>
          <w:tcPr>
            <w:tcW w:w="841" w:type="dxa"/>
            <w:hideMark/>
          </w:tcPr>
          <w:p w:rsidR="00236FD3" w:rsidRPr="00236FD3" w:rsidRDefault="00236FD3" w:rsidP="00236FD3">
            <w:pPr>
              <w:spacing w:before="40" w:after="40"/>
              <w:rPr>
                <w:rFonts w:ascii="Arial" w:eastAsia="Times New Roman" w:hAnsi="Arial" w:cs="Arial"/>
                <w:sz w:val="18"/>
                <w:szCs w:val="18"/>
              </w:rPr>
            </w:pPr>
            <w:r w:rsidRPr="00236FD3">
              <w:rPr>
                <w:rFonts w:ascii="Arial" w:eastAsia="Times New Roman" w:hAnsi="Arial" w:cs="Arial"/>
                <w:color w:val="000000"/>
                <w:sz w:val="18"/>
                <w:szCs w:val="18"/>
              </w:rPr>
              <w:t>3</w:t>
            </w:r>
          </w:p>
        </w:tc>
      </w:tr>
    </w:tbl>
    <w:p w:rsidR="00BD304D" w:rsidRDefault="00BD304D" w:rsidP="00BD304D"/>
    <w:sectPr w:rsidR="00BD304D" w:rsidSect="0033447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55" w:rsidRDefault="000B6055" w:rsidP="00334474">
      <w:pPr>
        <w:spacing w:after="0" w:line="240" w:lineRule="auto"/>
      </w:pPr>
      <w:r>
        <w:separator/>
      </w:r>
    </w:p>
  </w:endnote>
  <w:endnote w:type="continuationSeparator" w:id="0">
    <w:p w:rsidR="000B6055" w:rsidRDefault="000B6055" w:rsidP="00334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379212"/>
      <w:docPartObj>
        <w:docPartGallery w:val="Page Numbers (Bottom of Page)"/>
        <w:docPartUnique/>
      </w:docPartObj>
    </w:sdtPr>
    <w:sdtEndPr>
      <w:rPr>
        <w:noProof/>
      </w:rPr>
    </w:sdtEndPr>
    <w:sdtContent>
      <w:p w:rsidR="009E54E9" w:rsidRDefault="00C317EE">
        <w:pPr>
          <w:pStyle w:val="Footer"/>
          <w:jc w:val="center"/>
        </w:pPr>
        <w:r>
          <w:fldChar w:fldCharType="begin"/>
        </w:r>
        <w:r w:rsidR="009E54E9">
          <w:instrText xml:space="preserve"> PAGE   \* MERGEFORMAT </w:instrText>
        </w:r>
        <w:r>
          <w:fldChar w:fldCharType="separate"/>
        </w:r>
        <w:r w:rsidR="00BF2A15">
          <w:rPr>
            <w:noProof/>
          </w:rPr>
          <w:t>6</w:t>
        </w:r>
        <w:r>
          <w:rPr>
            <w:noProof/>
          </w:rPr>
          <w:fldChar w:fldCharType="end"/>
        </w:r>
      </w:p>
    </w:sdtContent>
  </w:sdt>
  <w:p w:rsidR="009E54E9" w:rsidRPr="00E76894" w:rsidRDefault="009E54E9" w:rsidP="00334474">
    <w:pPr>
      <w:tabs>
        <w:tab w:val="left" w:pos="0"/>
        <w:tab w:val="center" w:pos="7560"/>
        <w:tab w:val="right" w:pos="151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55" w:rsidRDefault="000B6055" w:rsidP="00334474">
      <w:pPr>
        <w:spacing w:after="0" w:line="240" w:lineRule="auto"/>
      </w:pPr>
      <w:r>
        <w:separator/>
      </w:r>
    </w:p>
  </w:footnote>
  <w:footnote w:type="continuationSeparator" w:id="0">
    <w:p w:rsidR="000B6055" w:rsidRDefault="000B6055" w:rsidP="00334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E9" w:rsidRPr="00E825D9" w:rsidRDefault="009E54E9" w:rsidP="00334474">
    <w:pPr>
      <w:pStyle w:val="Header"/>
      <w:jc w:val="right"/>
      <w:rPr>
        <w:rFonts w:cs="Arial"/>
        <w:szCs w:val="19"/>
      </w:rPr>
    </w:pPr>
    <w:r w:rsidRPr="00E825D9">
      <w:rPr>
        <w:rFonts w:cs="Arial"/>
        <w:szCs w:val="19"/>
      </w:rPr>
      <w:t xml:space="preserve">TSDS TEDS 2017-2018 </w:t>
    </w:r>
    <w:r>
      <w:rPr>
        <w:rFonts w:cs="Arial"/>
        <w:szCs w:val="19"/>
      </w:rPr>
      <w:t xml:space="preserve">Section </w:t>
    </w:r>
    <w:r w:rsidR="00BD304D">
      <w:rPr>
        <w:rFonts w:cs="Arial"/>
        <w:szCs w:val="19"/>
      </w:rPr>
      <w:t>5</w:t>
    </w:r>
    <w:r>
      <w:rPr>
        <w:rFonts w:cs="Arial"/>
        <w:szCs w:val="19"/>
      </w:rPr>
      <w:t xml:space="preserve"> </w:t>
    </w:r>
    <w:r w:rsidRPr="00E825D9">
      <w:rPr>
        <w:rFonts w:cs="Arial"/>
        <w:szCs w:val="19"/>
      </w:rPr>
      <w:t>Change Log</w:t>
    </w:r>
  </w:p>
  <w:p w:rsidR="009E54E9" w:rsidRPr="00E825D9" w:rsidRDefault="009E54E9" w:rsidP="00334474">
    <w:pPr>
      <w:pStyle w:val="Header"/>
      <w:jc w:val="right"/>
      <w:rPr>
        <w:rFonts w:cs="Arial"/>
        <w:szCs w:val="19"/>
      </w:rPr>
    </w:pPr>
    <w:r>
      <w:rPr>
        <w:rFonts w:cs="Arial"/>
        <w:szCs w:val="19"/>
      </w:rPr>
      <w:t>Preliminary Version 2018.P</w:t>
    </w:r>
    <w:r w:rsidRPr="00E825D9">
      <w:rPr>
        <w:rFonts w:cs="Arial"/>
        <w:szCs w:val="19"/>
      </w:rPr>
      <w:t>.1.0</w:t>
    </w:r>
  </w:p>
  <w:p w:rsidR="009E54E9" w:rsidRDefault="009E54E9" w:rsidP="00334474">
    <w:pPr>
      <w:pStyle w:val="Header"/>
      <w:jc w:val="right"/>
      <w:rPr>
        <w:rFonts w:cs="Arial"/>
        <w:b/>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334474"/>
    <w:rsid w:val="00010483"/>
    <w:rsid w:val="00010569"/>
    <w:rsid w:val="000337A5"/>
    <w:rsid w:val="0004139E"/>
    <w:rsid w:val="000526A4"/>
    <w:rsid w:val="00056315"/>
    <w:rsid w:val="000600EE"/>
    <w:rsid w:val="0006325E"/>
    <w:rsid w:val="00065C5B"/>
    <w:rsid w:val="0007006E"/>
    <w:rsid w:val="00073533"/>
    <w:rsid w:val="00073A05"/>
    <w:rsid w:val="00074154"/>
    <w:rsid w:val="00076304"/>
    <w:rsid w:val="000772B8"/>
    <w:rsid w:val="00081F10"/>
    <w:rsid w:val="00085D92"/>
    <w:rsid w:val="000945B3"/>
    <w:rsid w:val="000A0E87"/>
    <w:rsid w:val="000B07A0"/>
    <w:rsid w:val="000B6055"/>
    <w:rsid w:val="000C2EA7"/>
    <w:rsid w:val="000C6A61"/>
    <w:rsid w:val="000D37A7"/>
    <w:rsid w:val="000E253B"/>
    <w:rsid w:val="000E6074"/>
    <w:rsid w:val="000F18BA"/>
    <w:rsid w:val="000F3ED6"/>
    <w:rsid w:val="00100666"/>
    <w:rsid w:val="001020DF"/>
    <w:rsid w:val="00104EF2"/>
    <w:rsid w:val="00110691"/>
    <w:rsid w:val="0012235F"/>
    <w:rsid w:val="001248B4"/>
    <w:rsid w:val="0012500B"/>
    <w:rsid w:val="001332F6"/>
    <w:rsid w:val="00136531"/>
    <w:rsid w:val="00137445"/>
    <w:rsid w:val="0014214C"/>
    <w:rsid w:val="0016303C"/>
    <w:rsid w:val="00163FC0"/>
    <w:rsid w:val="00173C7E"/>
    <w:rsid w:val="00173E2C"/>
    <w:rsid w:val="00176710"/>
    <w:rsid w:val="0018122F"/>
    <w:rsid w:val="00185A3D"/>
    <w:rsid w:val="00187898"/>
    <w:rsid w:val="001A0C3C"/>
    <w:rsid w:val="001A31E5"/>
    <w:rsid w:val="001A4C2E"/>
    <w:rsid w:val="001B0080"/>
    <w:rsid w:val="001B168B"/>
    <w:rsid w:val="001C21AD"/>
    <w:rsid w:val="001C3469"/>
    <w:rsid w:val="001C5E1D"/>
    <w:rsid w:val="001F2B7C"/>
    <w:rsid w:val="00204F35"/>
    <w:rsid w:val="002056D0"/>
    <w:rsid w:val="00206501"/>
    <w:rsid w:val="002134B0"/>
    <w:rsid w:val="00213E40"/>
    <w:rsid w:val="00224F58"/>
    <w:rsid w:val="002318CB"/>
    <w:rsid w:val="002328DE"/>
    <w:rsid w:val="00236FD3"/>
    <w:rsid w:val="00243E37"/>
    <w:rsid w:val="0025168A"/>
    <w:rsid w:val="002531FB"/>
    <w:rsid w:val="0025574D"/>
    <w:rsid w:val="00261555"/>
    <w:rsid w:val="00265B7E"/>
    <w:rsid w:val="002773A5"/>
    <w:rsid w:val="00280B4F"/>
    <w:rsid w:val="002810DD"/>
    <w:rsid w:val="00284618"/>
    <w:rsid w:val="00296FBB"/>
    <w:rsid w:val="002A0BA1"/>
    <w:rsid w:val="002A1262"/>
    <w:rsid w:val="002A2268"/>
    <w:rsid w:val="002B7269"/>
    <w:rsid w:val="002B7BE4"/>
    <w:rsid w:val="002C572C"/>
    <w:rsid w:val="002C5AEA"/>
    <w:rsid w:val="002D2883"/>
    <w:rsid w:val="002D3874"/>
    <w:rsid w:val="002D3AF7"/>
    <w:rsid w:val="002D51FD"/>
    <w:rsid w:val="002D75ED"/>
    <w:rsid w:val="002F1B2A"/>
    <w:rsid w:val="002F510E"/>
    <w:rsid w:val="002F748F"/>
    <w:rsid w:val="00301788"/>
    <w:rsid w:val="00301E02"/>
    <w:rsid w:val="00304713"/>
    <w:rsid w:val="0030544A"/>
    <w:rsid w:val="00305C67"/>
    <w:rsid w:val="00312A9D"/>
    <w:rsid w:val="00313045"/>
    <w:rsid w:val="00334474"/>
    <w:rsid w:val="003452C6"/>
    <w:rsid w:val="0034694A"/>
    <w:rsid w:val="00362664"/>
    <w:rsid w:val="00365591"/>
    <w:rsid w:val="00366812"/>
    <w:rsid w:val="003672AD"/>
    <w:rsid w:val="0036744E"/>
    <w:rsid w:val="00371685"/>
    <w:rsid w:val="00380250"/>
    <w:rsid w:val="003802D6"/>
    <w:rsid w:val="0038419F"/>
    <w:rsid w:val="003904DA"/>
    <w:rsid w:val="003976F8"/>
    <w:rsid w:val="003977EE"/>
    <w:rsid w:val="00397D5E"/>
    <w:rsid w:val="003A1B94"/>
    <w:rsid w:val="003A24C0"/>
    <w:rsid w:val="003C6454"/>
    <w:rsid w:val="003D3446"/>
    <w:rsid w:val="003D4038"/>
    <w:rsid w:val="003E20A9"/>
    <w:rsid w:val="003E6E15"/>
    <w:rsid w:val="003F1F37"/>
    <w:rsid w:val="003F4B2B"/>
    <w:rsid w:val="003F5F62"/>
    <w:rsid w:val="0041293A"/>
    <w:rsid w:val="0041546F"/>
    <w:rsid w:val="0043022A"/>
    <w:rsid w:val="004315C9"/>
    <w:rsid w:val="0043386A"/>
    <w:rsid w:val="004362DA"/>
    <w:rsid w:val="00443641"/>
    <w:rsid w:val="00444B7F"/>
    <w:rsid w:val="00453CF8"/>
    <w:rsid w:val="00454FC8"/>
    <w:rsid w:val="00455415"/>
    <w:rsid w:val="00456774"/>
    <w:rsid w:val="00456AF2"/>
    <w:rsid w:val="0045776E"/>
    <w:rsid w:val="00463CCF"/>
    <w:rsid w:val="00466881"/>
    <w:rsid w:val="00467E38"/>
    <w:rsid w:val="0047225F"/>
    <w:rsid w:val="004933C5"/>
    <w:rsid w:val="004A12DF"/>
    <w:rsid w:val="004A508E"/>
    <w:rsid w:val="004A776E"/>
    <w:rsid w:val="004A7D9F"/>
    <w:rsid w:val="004B2692"/>
    <w:rsid w:val="004B32CB"/>
    <w:rsid w:val="004C5408"/>
    <w:rsid w:val="004C7AA9"/>
    <w:rsid w:val="004D4D70"/>
    <w:rsid w:val="004D5CAF"/>
    <w:rsid w:val="004D6F9E"/>
    <w:rsid w:val="004D73BB"/>
    <w:rsid w:val="004E1EBA"/>
    <w:rsid w:val="004E3227"/>
    <w:rsid w:val="00501B88"/>
    <w:rsid w:val="00501EE3"/>
    <w:rsid w:val="00505B89"/>
    <w:rsid w:val="00514339"/>
    <w:rsid w:val="005201FF"/>
    <w:rsid w:val="005224C6"/>
    <w:rsid w:val="005241A1"/>
    <w:rsid w:val="00537EE2"/>
    <w:rsid w:val="005408D5"/>
    <w:rsid w:val="00556AE5"/>
    <w:rsid w:val="005575B1"/>
    <w:rsid w:val="00565FE7"/>
    <w:rsid w:val="00567FE8"/>
    <w:rsid w:val="0057126A"/>
    <w:rsid w:val="0057635D"/>
    <w:rsid w:val="00576673"/>
    <w:rsid w:val="00577A5E"/>
    <w:rsid w:val="00583D74"/>
    <w:rsid w:val="005900A0"/>
    <w:rsid w:val="00590CAF"/>
    <w:rsid w:val="00590E04"/>
    <w:rsid w:val="00597B89"/>
    <w:rsid w:val="005A10FF"/>
    <w:rsid w:val="005B4CE7"/>
    <w:rsid w:val="005B5C6E"/>
    <w:rsid w:val="005C0499"/>
    <w:rsid w:val="005C3673"/>
    <w:rsid w:val="005C706C"/>
    <w:rsid w:val="005D0E12"/>
    <w:rsid w:val="005E0821"/>
    <w:rsid w:val="005E25E1"/>
    <w:rsid w:val="005E7605"/>
    <w:rsid w:val="005F3E4B"/>
    <w:rsid w:val="005F4570"/>
    <w:rsid w:val="00602024"/>
    <w:rsid w:val="00603B69"/>
    <w:rsid w:val="006070AD"/>
    <w:rsid w:val="00616DFD"/>
    <w:rsid w:val="0062009D"/>
    <w:rsid w:val="00622445"/>
    <w:rsid w:val="00625CF0"/>
    <w:rsid w:val="00626940"/>
    <w:rsid w:val="00630662"/>
    <w:rsid w:val="00634383"/>
    <w:rsid w:val="00634973"/>
    <w:rsid w:val="006372FD"/>
    <w:rsid w:val="00640F7E"/>
    <w:rsid w:val="0065706F"/>
    <w:rsid w:val="0066121E"/>
    <w:rsid w:val="006744F6"/>
    <w:rsid w:val="00677DC4"/>
    <w:rsid w:val="00687E0D"/>
    <w:rsid w:val="00693B8D"/>
    <w:rsid w:val="006A005E"/>
    <w:rsid w:val="006A0125"/>
    <w:rsid w:val="006A1794"/>
    <w:rsid w:val="006B6424"/>
    <w:rsid w:val="006C153F"/>
    <w:rsid w:val="006D33D2"/>
    <w:rsid w:val="006D52AD"/>
    <w:rsid w:val="006D5D01"/>
    <w:rsid w:val="006E1553"/>
    <w:rsid w:val="006E16BC"/>
    <w:rsid w:val="006E60E7"/>
    <w:rsid w:val="006F414C"/>
    <w:rsid w:val="006F7A9C"/>
    <w:rsid w:val="0070024E"/>
    <w:rsid w:val="00700D81"/>
    <w:rsid w:val="00705309"/>
    <w:rsid w:val="007228A5"/>
    <w:rsid w:val="007315A6"/>
    <w:rsid w:val="00731640"/>
    <w:rsid w:val="0075036C"/>
    <w:rsid w:val="007533A6"/>
    <w:rsid w:val="00757BFE"/>
    <w:rsid w:val="00764062"/>
    <w:rsid w:val="00764CD2"/>
    <w:rsid w:val="00767B6A"/>
    <w:rsid w:val="007734AB"/>
    <w:rsid w:val="0077617E"/>
    <w:rsid w:val="0078032B"/>
    <w:rsid w:val="007837EC"/>
    <w:rsid w:val="00785D1A"/>
    <w:rsid w:val="007910D7"/>
    <w:rsid w:val="00794052"/>
    <w:rsid w:val="00794B59"/>
    <w:rsid w:val="00795617"/>
    <w:rsid w:val="0079668A"/>
    <w:rsid w:val="0079796F"/>
    <w:rsid w:val="007A1FC3"/>
    <w:rsid w:val="007A43E0"/>
    <w:rsid w:val="007B4055"/>
    <w:rsid w:val="007B4FA2"/>
    <w:rsid w:val="007C2C89"/>
    <w:rsid w:val="007D67C7"/>
    <w:rsid w:val="007E073B"/>
    <w:rsid w:val="007E252C"/>
    <w:rsid w:val="007E2914"/>
    <w:rsid w:val="007E300E"/>
    <w:rsid w:val="007E64E8"/>
    <w:rsid w:val="007F3EA7"/>
    <w:rsid w:val="007F4256"/>
    <w:rsid w:val="00801E07"/>
    <w:rsid w:val="00803BF0"/>
    <w:rsid w:val="00810073"/>
    <w:rsid w:val="00810808"/>
    <w:rsid w:val="00822045"/>
    <w:rsid w:val="0082206E"/>
    <w:rsid w:val="008232F5"/>
    <w:rsid w:val="008258F3"/>
    <w:rsid w:val="00832FFA"/>
    <w:rsid w:val="00833B31"/>
    <w:rsid w:val="00833F97"/>
    <w:rsid w:val="00836332"/>
    <w:rsid w:val="008459AE"/>
    <w:rsid w:val="008459D0"/>
    <w:rsid w:val="00851BE3"/>
    <w:rsid w:val="00851C9B"/>
    <w:rsid w:val="00864B72"/>
    <w:rsid w:val="00867180"/>
    <w:rsid w:val="00867FEF"/>
    <w:rsid w:val="00873206"/>
    <w:rsid w:val="00882F8B"/>
    <w:rsid w:val="008868C9"/>
    <w:rsid w:val="0088792F"/>
    <w:rsid w:val="00895323"/>
    <w:rsid w:val="008A38F4"/>
    <w:rsid w:val="008B57A7"/>
    <w:rsid w:val="008B63F7"/>
    <w:rsid w:val="008C589F"/>
    <w:rsid w:val="008D3725"/>
    <w:rsid w:val="008D63E6"/>
    <w:rsid w:val="008E7543"/>
    <w:rsid w:val="008F27FD"/>
    <w:rsid w:val="00901B2C"/>
    <w:rsid w:val="00903AAB"/>
    <w:rsid w:val="009062DF"/>
    <w:rsid w:val="00906F94"/>
    <w:rsid w:val="009127B7"/>
    <w:rsid w:val="009162D1"/>
    <w:rsid w:val="0092061F"/>
    <w:rsid w:val="00924579"/>
    <w:rsid w:val="00930E82"/>
    <w:rsid w:val="0093321F"/>
    <w:rsid w:val="00940DAF"/>
    <w:rsid w:val="0094730D"/>
    <w:rsid w:val="00956C1A"/>
    <w:rsid w:val="00963597"/>
    <w:rsid w:val="00965432"/>
    <w:rsid w:val="00965905"/>
    <w:rsid w:val="00966138"/>
    <w:rsid w:val="009777DF"/>
    <w:rsid w:val="00981F9A"/>
    <w:rsid w:val="009846D7"/>
    <w:rsid w:val="00985D8F"/>
    <w:rsid w:val="009916D4"/>
    <w:rsid w:val="00991C8D"/>
    <w:rsid w:val="0099239D"/>
    <w:rsid w:val="00993AD3"/>
    <w:rsid w:val="009A1841"/>
    <w:rsid w:val="009C11C0"/>
    <w:rsid w:val="009E11EC"/>
    <w:rsid w:val="009E54E9"/>
    <w:rsid w:val="009F30E8"/>
    <w:rsid w:val="009F5871"/>
    <w:rsid w:val="00A074DC"/>
    <w:rsid w:val="00A11821"/>
    <w:rsid w:val="00A146E6"/>
    <w:rsid w:val="00A22313"/>
    <w:rsid w:val="00A22C83"/>
    <w:rsid w:val="00A255E2"/>
    <w:rsid w:val="00A3126E"/>
    <w:rsid w:val="00A31844"/>
    <w:rsid w:val="00A3196D"/>
    <w:rsid w:val="00A34C02"/>
    <w:rsid w:val="00A37044"/>
    <w:rsid w:val="00A45994"/>
    <w:rsid w:val="00A5093E"/>
    <w:rsid w:val="00A60596"/>
    <w:rsid w:val="00A63F59"/>
    <w:rsid w:val="00A64EC1"/>
    <w:rsid w:val="00A72449"/>
    <w:rsid w:val="00A74A8F"/>
    <w:rsid w:val="00A863B3"/>
    <w:rsid w:val="00A86974"/>
    <w:rsid w:val="00A90E43"/>
    <w:rsid w:val="00A91B4E"/>
    <w:rsid w:val="00AA13ED"/>
    <w:rsid w:val="00AA683B"/>
    <w:rsid w:val="00AA7506"/>
    <w:rsid w:val="00AB2F02"/>
    <w:rsid w:val="00AB5401"/>
    <w:rsid w:val="00AC0384"/>
    <w:rsid w:val="00AC18DD"/>
    <w:rsid w:val="00AC20BC"/>
    <w:rsid w:val="00AE2C2B"/>
    <w:rsid w:val="00AE42B9"/>
    <w:rsid w:val="00AE44DA"/>
    <w:rsid w:val="00AE65F0"/>
    <w:rsid w:val="00AF30BB"/>
    <w:rsid w:val="00B03411"/>
    <w:rsid w:val="00B12A6D"/>
    <w:rsid w:val="00B12B36"/>
    <w:rsid w:val="00B20598"/>
    <w:rsid w:val="00B27F66"/>
    <w:rsid w:val="00B31097"/>
    <w:rsid w:val="00B376D1"/>
    <w:rsid w:val="00B4139A"/>
    <w:rsid w:val="00B41E6F"/>
    <w:rsid w:val="00B50127"/>
    <w:rsid w:val="00B51755"/>
    <w:rsid w:val="00B55FCD"/>
    <w:rsid w:val="00B571E8"/>
    <w:rsid w:val="00B6005D"/>
    <w:rsid w:val="00B6508F"/>
    <w:rsid w:val="00B67951"/>
    <w:rsid w:val="00B715E4"/>
    <w:rsid w:val="00B71E9A"/>
    <w:rsid w:val="00B73A9F"/>
    <w:rsid w:val="00B76A33"/>
    <w:rsid w:val="00B81FDE"/>
    <w:rsid w:val="00B82E29"/>
    <w:rsid w:val="00B85C17"/>
    <w:rsid w:val="00B96861"/>
    <w:rsid w:val="00BA41BE"/>
    <w:rsid w:val="00BA4740"/>
    <w:rsid w:val="00BA4FB0"/>
    <w:rsid w:val="00BA58BF"/>
    <w:rsid w:val="00BA6DD6"/>
    <w:rsid w:val="00BA7311"/>
    <w:rsid w:val="00BB1960"/>
    <w:rsid w:val="00BB4341"/>
    <w:rsid w:val="00BC3649"/>
    <w:rsid w:val="00BC5B96"/>
    <w:rsid w:val="00BD304D"/>
    <w:rsid w:val="00BE3B60"/>
    <w:rsid w:val="00BE6A42"/>
    <w:rsid w:val="00BF2A15"/>
    <w:rsid w:val="00C018C3"/>
    <w:rsid w:val="00C022A6"/>
    <w:rsid w:val="00C02BB9"/>
    <w:rsid w:val="00C07CC6"/>
    <w:rsid w:val="00C23C28"/>
    <w:rsid w:val="00C25EEC"/>
    <w:rsid w:val="00C30854"/>
    <w:rsid w:val="00C317EE"/>
    <w:rsid w:val="00C361DC"/>
    <w:rsid w:val="00C3694A"/>
    <w:rsid w:val="00C409C2"/>
    <w:rsid w:val="00C43034"/>
    <w:rsid w:val="00C4346D"/>
    <w:rsid w:val="00C534C1"/>
    <w:rsid w:val="00C54240"/>
    <w:rsid w:val="00C55568"/>
    <w:rsid w:val="00C62310"/>
    <w:rsid w:val="00C63504"/>
    <w:rsid w:val="00C718EB"/>
    <w:rsid w:val="00C747F3"/>
    <w:rsid w:val="00C86A22"/>
    <w:rsid w:val="00C870D4"/>
    <w:rsid w:val="00C97D6E"/>
    <w:rsid w:val="00CA252C"/>
    <w:rsid w:val="00CA4F5E"/>
    <w:rsid w:val="00CA54D8"/>
    <w:rsid w:val="00CA5C4D"/>
    <w:rsid w:val="00CA7DA9"/>
    <w:rsid w:val="00CB0000"/>
    <w:rsid w:val="00CB286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D012B4"/>
    <w:rsid w:val="00D0371F"/>
    <w:rsid w:val="00D06079"/>
    <w:rsid w:val="00D07607"/>
    <w:rsid w:val="00D11AB4"/>
    <w:rsid w:val="00D140AF"/>
    <w:rsid w:val="00D154D2"/>
    <w:rsid w:val="00D162EE"/>
    <w:rsid w:val="00D2176B"/>
    <w:rsid w:val="00D23993"/>
    <w:rsid w:val="00D32C13"/>
    <w:rsid w:val="00D36C05"/>
    <w:rsid w:val="00D64541"/>
    <w:rsid w:val="00D66815"/>
    <w:rsid w:val="00D70F37"/>
    <w:rsid w:val="00D72530"/>
    <w:rsid w:val="00D75B34"/>
    <w:rsid w:val="00D760F9"/>
    <w:rsid w:val="00D92EDE"/>
    <w:rsid w:val="00D95A69"/>
    <w:rsid w:val="00DA37F1"/>
    <w:rsid w:val="00DA66BD"/>
    <w:rsid w:val="00DA7551"/>
    <w:rsid w:val="00DB0039"/>
    <w:rsid w:val="00DB16C9"/>
    <w:rsid w:val="00DB2204"/>
    <w:rsid w:val="00DB3601"/>
    <w:rsid w:val="00DC1946"/>
    <w:rsid w:val="00DC5BB8"/>
    <w:rsid w:val="00DD24A2"/>
    <w:rsid w:val="00DD664A"/>
    <w:rsid w:val="00DF4EAD"/>
    <w:rsid w:val="00DF5DE7"/>
    <w:rsid w:val="00DF6E66"/>
    <w:rsid w:val="00E11805"/>
    <w:rsid w:val="00E1294B"/>
    <w:rsid w:val="00E132BC"/>
    <w:rsid w:val="00E212BB"/>
    <w:rsid w:val="00E30FA4"/>
    <w:rsid w:val="00E32DF2"/>
    <w:rsid w:val="00E33877"/>
    <w:rsid w:val="00E34A6A"/>
    <w:rsid w:val="00E34A95"/>
    <w:rsid w:val="00E34C39"/>
    <w:rsid w:val="00E36848"/>
    <w:rsid w:val="00E36F8E"/>
    <w:rsid w:val="00E414E0"/>
    <w:rsid w:val="00E52456"/>
    <w:rsid w:val="00E750B7"/>
    <w:rsid w:val="00E769BF"/>
    <w:rsid w:val="00E838E3"/>
    <w:rsid w:val="00E96748"/>
    <w:rsid w:val="00E96DF8"/>
    <w:rsid w:val="00EA3E9D"/>
    <w:rsid w:val="00EA4CEC"/>
    <w:rsid w:val="00EA6BD5"/>
    <w:rsid w:val="00EB2BF0"/>
    <w:rsid w:val="00EC2C2D"/>
    <w:rsid w:val="00ED760C"/>
    <w:rsid w:val="00EE027A"/>
    <w:rsid w:val="00EE20B1"/>
    <w:rsid w:val="00EE21F2"/>
    <w:rsid w:val="00EE6067"/>
    <w:rsid w:val="00EE6E3C"/>
    <w:rsid w:val="00EF1767"/>
    <w:rsid w:val="00EF3860"/>
    <w:rsid w:val="00F02689"/>
    <w:rsid w:val="00F06F1C"/>
    <w:rsid w:val="00F11A0B"/>
    <w:rsid w:val="00F126BE"/>
    <w:rsid w:val="00F162CB"/>
    <w:rsid w:val="00F175E2"/>
    <w:rsid w:val="00F21268"/>
    <w:rsid w:val="00F31A76"/>
    <w:rsid w:val="00F367E4"/>
    <w:rsid w:val="00F417F3"/>
    <w:rsid w:val="00F41C3D"/>
    <w:rsid w:val="00F4562B"/>
    <w:rsid w:val="00F47CE1"/>
    <w:rsid w:val="00F53442"/>
    <w:rsid w:val="00F54B88"/>
    <w:rsid w:val="00F6290F"/>
    <w:rsid w:val="00F67E7C"/>
    <w:rsid w:val="00F70411"/>
    <w:rsid w:val="00F72405"/>
    <w:rsid w:val="00F74652"/>
    <w:rsid w:val="00F75A7B"/>
    <w:rsid w:val="00F81906"/>
    <w:rsid w:val="00F81E23"/>
    <w:rsid w:val="00F84BF4"/>
    <w:rsid w:val="00F9152F"/>
    <w:rsid w:val="00F9180F"/>
    <w:rsid w:val="00F97D88"/>
    <w:rsid w:val="00F97DC8"/>
    <w:rsid w:val="00FA20E2"/>
    <w:rsid w:val="00FA4217"/>
    <w:rsid w:val="00FA4EC2"/>
    <w:rsid w:val="00FA720A"/>
    <w:rsid w:val="00FB392F"/>
    <w:rsid w:val="00FB7CBD"/>
    <w:rsid w:val="00FC3B03"/>
    <w:rsid w:val="00FD4D23"/>
    <w:rsid w:val="00FE3AD1"/>
    <w:rsid w:val="00FE75E4"/>
    <w:rsid w:val="00FF7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3643-8D8E-4FF3-8A8C-7A7D9C24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7</Pages>
  <Words>1790</Words>
  <Characters>10812</Characters>
  <Application>Microsoft Office Word</Application>
  <DocSecurity>0</DocSecurity>
  <Lines>831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Lemons, Melissa</dc:creator>
  <cp:keywords/>
  <dc:description/>
  <cp:lastModifiedBy>Jeanine Helms</cp:lastModifiedBy>
  <cp:revision>21</cp:revision>
  <cp:lastPrinted>2016-11-21T17:58:00Z</cp:lastPrinted>
  <dcterms:created xsi:type="dcterms:W3CDTF">2016-11-15T12:53:00Z</dcterms:created>
  <dcterms:modified xsi:type="dcterms:W3CDTF">2016-11-29T13:26:00Z</dcterms:modified>
</cp:coreProperties>
</file>